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169B" w:rsidRDefault="00DF169B" w:rsidP="00DF169B">
      <w:r>
        <w:rPr>
          <w:noProof/>
          <w:lang w:val="en-US"/>
        </w:rPr>
        <w:drawing>
          <wp:anchor distT="0" distB="0" distL="114300" distR="114300" simplePos="0" relativeHeight="251663360" behindDoc="1" locked="0" layoutInCell="1" allowOverlap="1">
            <wp:simplePos x="0" y="0"/>
            <wp:positionH relativeFrom="column">
              <wp:posOffset>-342900</wp:posOffset>
            </wp:positionH>
            <wp:positionV relativeFrom="paragraph">
              <wp:posOffset>-457200</wp:posOffset>
            </wp:positionV>
            <wp:extent cx="906145" cy="1371600"/>
            <wp:effectExtent l="25400" t="0" r="8255" b="0"/>
            <wp:wrapTight wrapText="bothSides">
              <wp:wrapPolygon edited="0">
                <wp:start x="-605" y="0"/>
                <wp:lineTo x="-605" y="21200"/>
                <wp:lineTo x="21797" y="21200"/>
                <wp:lineTo x="21797" y="0"/>
                <wp:lineTo x="-605" y="0"/>
              </wp:wrapPolygon>
            </wp:wrapTight>
            <wp:docPr id="5" name="Picture 5" descr="H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KU"/>
                    <pic:cNvPicPr>
                      <a:picLocks noChangeAspect="1" noChangeArrowheads="1"/>
                    </pic:cNvPicPr>
                  </pic:nvPicPr>
                  <pic:blipFill>
                    <a:blip r:embed="rId5"/>
                    <a:srcRect l="6247" t="3110" r="14594" b="6259"/>
                    <a:stretch>
                      <a:fillRect/>
                    </a:stretch>
                  </pic:blipFill>
                  <pic:spPr bwMode="auto">
                    <a:xfrm>
                      <a:off x="0" y="0"/>
                      <a:ext cx="906145" cy="1371600"/>
                    </a:xfrm>
                    <a:prstGeom prst="rect">
                      <a:avLst/>
                    </a:prstGeom>
                    <a:noFill/>
                    <a:ln w="9525">
                      <a:noFill/>
                      <a:miter lim="800000"/>
                      <a:headEnd/>
                      <a:tailEnd/>
                    </a:ln>
                  </pic:spPr>
                </pic:pic>
              </a:graphicData>
            </a:graphic>
          </wp:anchor>
        </w:drawing>
      </w:r>
      <w:r w:rsidR="001E6EE0" w:rsidRPr="001E6EE0">
        <w:rPr>
          <w:noProof/>
        </w:rPr>
        <w:pict>
          <v:shapetype id="_x0000_t202" coordsize="21600,21600" o:spt="202" path="m0,0l0,21600,21600,21600,21600,0xe">
            <v:stroke joinstyle="miter"/>
            <v:path gradientshapeok="t" o:connecttype="rect"/>
          </v:shapetype>
          <v:shape id="_x0000_s1026" type="#_x0000_t202" style="position:absolute;margin-left:6.45pt;margin-top:-36pt;width:369pt;height:90pt;z-index:251660288;mso-position-horizontal-relative:text;mso-position-vertical-relative:text" filled="f" stroked="f">
            <v:textbox style="mso-next-textbox:#_x0000_s1026">
              <w:txbxContent>
                <w:p w:rsidR="00DF169B" w:rsidRPr="00A6395F" w:rsidRDefault="00DF169B" w:rsidP="00DF169B">
                  <w:pPr>
                    <w:jc w:val="center"/>
                    <w:rPr>
                      <w:rFonts w:ascii="Tempus Sans ITC" w:hAnsi="Tempus Sans ITC"/>
                      <w:sz w:val="48"/>
                      <w:szCs w:val="60"/>
                    </w:rPr>
                  </w:pPr>
                  <w:proofErr w:type="spellStart"/>
                  <w:r w:rsidRPr="00A6395F">
                    <w:rPr>
                      <w:rFonts w:ascii="Tempus Sans ITC" w:hAnsi="Tempus Sans ITC"/>
                      <w:sz w:val="48"/>
                      <w:szCs w:val="60"/>
                    </w:rPr>
                    <w:t>Hako</w:t>
                  </w:r>
                  <w:proofErr w:type="spellEnd"/>
                  <w:r w:rsidRPr="00A6395F">
                    <w:rPr>
                      <w:rFonts w:ascii="Tempus Sans ITC" w:hAnsi="Tempus Sans ITC"/>
                      <w:sz w:val="48"/>
                      <w:szCs w:val="60"/>
                    </w:rPr>
                    <w:t xml:space="preserve"> Women’s Collective</w:t>
                  </w:r>
                </w:p>
                <w:p w:rsidR="00DF169B" w:rsidRPr="00676198" w:rsidRDefault="00DF169B" w:rsidP="00DF169B">
                  <w:pPr>
                    <w:jc w:val="center"/>
                    <w:rPr>
                      <w:rFonts w:ascii="RomanC" w:hAnsi="RomanC"/>
                      <w:b/>
                      <w:sz w:val="20"/>
                      <w:szCs w:val="19"/>
                    </w:rPr>
                  </w:pPr>
                  <w:r w:rsidRPr="00676198">
                    <w:rPr>
                      <w:rFonts w:ascii="RomanC" w:hAnsi="RomanC"/>
                      <w:b/>
                      <w:sz w:val="20"/>
                      <w:szCs w:val="19"/>
                    </w:rPr>
                    <w:t xml:space="preserve">P.O Box 699, </w:t>
                  </w:r>
                  <w:proofErr w:type="spellStart"/>
                  <w:r w:rsidRPr="00676198">
                    <w:rPr>
                      <w:rFonts w:ascii="RomanC" w:hAnsi="RomanC"/>
                      <w:b/>
                      <w:sz w:val="20"/>
                      <w:szCs w:val="19"/>
                    </w:rPr>
                    <w:t>Buka</w:t>
                  </w:r>
                  <w:proofErr w:type="spellEnd"/>
                  <w:r w:rsidRPr="00676198">
                    <w:rPr>
                      <w:rFonts w:ascii="RomanC" w:hAnsi="RomanC"/>
                      <w:b/>
                      <w:sz w:val="20"/>
                      <w:szCs w:val="19"/>
                    </w:rPr>
                    <w:t>, Autonomous Region of Bougainville</w:t>
                  </w:r>
                </w:p>
                <w:p w:rsidR="00DF169B" w:rsidRPr="00676198" w:rsidRDefault="00DF169B" w:rsidP="00DF169B">
                  <w:pPr>
                    <w:jc w:val="center"/>
                    <w:rPr>
                      <w:rFonts w:ascii="RomanC" w:hAnsi="RomanC"/>
                      <w:b/>
                      <w:sz w:val="20"/>
                      <w:szCs w:val="19"/>
                    </w:rPr>
                  </w:pPr>
                  <w:r w:rsidRPr="00676198">
                    <w:rPr>
                      <w:rFonts w:ascii="RomanC" w:hAnsi="RomanC"/>
                      <w:b/>
                      <w:sz w:val="20"/>
                      <w:szCs w:val="19"/>
                    </w:rPr>
                    <w:t xml:space="preserve">Contact President </w:t>
                  </w:r>
                  <w:proofErr w:type="spellStart"/>
                  <w:r w:rsidRPr="00676198">
                    <w:rPr>
                      <w:rFonts w:ascii="RomanC" w:hAnsi="RomanC"/>
                      <w:b/>
                      <w:sz w:val="20"/>
                      <w:szCs w:val="19"/>
                    </w:rPr>
                    <w:t>Dorcas</w:t>
                  </w:r>
                  <w:proofErr w:type="spellEnd"/>
                  <w:r w:rsidRPr="00676198">
                    <w:rPr>
                      <w:rFonts w:ascii="RomanC" w:hAnsi="RomanC"/>
                      <w:b/>
                      <w:sz w:val="20"/>
                      <w:szCs w:val="19"/>
                    </w:rPr>
                    <w:t xml:space="preserve"> </w:t>
                  </w:r>
                  <w:proofErr w:type="spellStart"/>
                  <w:r w:rsidRPr="00676198">
                    <w:rPr>
                      <w:rFonts w:ascii="RomanC" w:hAnsi="RomanC"/>
                      <w:b/>
                      <w:sz w:val="20"/>
                      <w:szCs w:val="19"/>
                    </w:rPr>
                    <w:t>Gano</w:t>
                  </w:r>
                  <w:proofErr w:type="spellEnd"/>
                  <w:r w:rsidRPr="00676198">
                    <w:rPr>
                      <w:rFonts w:ascii="RomanC" w:hAnsi="RomanC"/>
                      <w:b/>
                      <w:sz w:val="20"/>
                      <w:szCs w:val="19"/>
                    </w:rPr>
                    <w:t xml:space="preserve"> ph +675 71110760</w:t>
                  </w:r>
                </w:p>
                <w:p w:rsidR="00DF169B" w:rsidRDefault="00DF169B" w:rsidP="00DF169B">
                  <w:pPr>
                    <w:jc w:val="center"/>
                    <w:rPr>
                      <w:rFonts w:ascii="RomanC" w:hAnsi="RomanC"/>
                      <w:sz w:val="19"/>
                      <w:szCs w:val="19"/>
                    </w:rPr>
                  </w:pPr>
                </w:p>
                <w:p w:rsidR="00DF169B" w:rsidRDefault="00DF169B" w:rsidP="00DF169B">
                  <w:pPr>
                    <w:jc w:val="center"/>
                    <w:rPr>
                      <w:rFonts w:ascii="RomanC" w:hAnsi="RomanC"/>
                      <w:sz w:val="19"/>
                      <w:szCs w:val="19"/>
                    </w:rPr>
                  </w:pPr>
                </w:p>
                <w:p w:rsidR="00DF169B" w:rsidRPr="00D23333" w:rsidRDefault="00DF169B" w:rsidP="00DF169B">
                  <w:pPr>
                    <w:jc w:val="center"/>
                    <w:rPr>
                      <w:rFonts w:ascii="RomanC" w:hAnsi="RomanC"/>
                      <w:sz w:val="19"/>
                      <w:szCs w:val="19"/>
                    </w:rPr>
                  </w:pPr>
                </w:p>
              </w:txbxContent>
            </v:textbox>
          </v:shape>
        </w:pict>
      </w:r>
    </w:p>
    <w:p w:rsidR="00DF169B" w:rsidRDefault="001E6EE0" w:rsidP="00DF169B">
      <w:r w:rsidRPr="001E6EE0">
        <w:rPr>
          <w:noProof/>
        </w:rPr>
        <w:pict>
          <v:shape id="_x0000_s1027" type="#_x0000_t202" style="position:absolute;margin-left:-2.25pt;margin-top:14.1pt;width:378pt;height:36pt;z-index:251661312" filled="f" stroked="f">
            <v:textbox style="mso-next-textbox:#_x0000_s1027">
              <w:txbxContent>
                <w:p w:rsidR="00DF169B" w:rsidRPr="00F24F47" w:rsidRDefault="00DF169B" w:rsidP="00DF169B">
                  <w:pPr>
                    <w:jc w:val="center"/>
                    <w:rPr>
                      <w:rFonts w:ascii="Comic Sans MS" w:hAnsi="Comic Sans MS"/>
                      <w:sz w:val="23"/>
                      <w:szCs w:val="23"/>
                    </w:rPr>
                  </w:pPr>
                  <w:r w:rsidRPr="00F24F47">
                    <w:rPr>
                      <w:rFonts w:ascii="Comic Sans MS" w:hAnsi="Comic Sans MS"/>
                      <w:sz w:val="23"/>
                      <w:szCs w:val="23"/>
                    </w:rPr>
                    <w:t xml:space="preserve">Women of </w:t>
                  </w:r>
                  <w:proofErr w:type="spellStart"/>
                  <w:r w:rsidRPr="00F24F47">
                    <w:rPr>
                      <w:rFonts w:ascii="Comic Sans MS" w:hAnsi="Comic Sans MS"/>
                      <w:sz w:val="23"/>
                      <w:szCs w:val="23"/>
                    </w:rPr>
                    <w:t>Hako</w:t>
                  </w:r>
                  <w:proofErr w:type="spellEnd"/>
                  <w:r w:rsidRPr="00F24F47">
                    <w:rPr>
                      <w:rFonts w:ascii="Comic Sans MS" w:hAnsi="Comic Sans MS"/>
                      <w:sz w:val="23"/>
                      <w:szCs w:val="23"/>
                    </w:rPr>
                    <w:t xml:space="preserve"> Developing and establishing with love for </w:t>
                  </w:r>
                  <w:proofErr w:type="spellStart"/>
                  <w:r w:rsidRPr="00F24F47">
                    <w:rPr>
                      <w:rFonts w:ascii="Comic Sans MS" w:hAnsi="Comic Sans MS"/>
                      <w:sz w:val="23"/>
                      <w:szCs w:val="23"/>
                    </w:rPr>
                    <w:t>Hako</w:t>
                  </w:r>
                  <w:proofErr w:type="spellEnd"/>
                </w:p>
              </w:txbxContent>
            </v:textbox>
          </v:shape>
        </w:pict>
      </w:r>
    </w:p>
    <w:p w:rsidR="00DF169B" w:rsidRPr="00D23333" w:rsidRDefault="001E6EE0" w:rsidP="00DF169B">
      <w:pPr>
        <w:rPr>
          <w:sz w:val="52"/>
        </w:rPr>
      </w:pPr>
      <w:r w:rsidRPr="001E6EE0">
        <w:rPr>
          <w:noProof/>
        </w:rPr>
        <w:pict>
          <v:line id="_x0000_s1028" style="position:absolute;z-index:251662336" from="18.65pt,28.15pt" to="369.65pt,28.15pt"/>
        </w:pict>
      </w:r>
    </w:p>
    <w:p w:rsidR="00A250AE" w:rsidRPr="00972CA8" w:rsidRDefault="00DF169B" w:rsidP="00972CA8">
      <w:pPr>
        <w:jc w:val="center"/>
        <w:rPr>
          <w:b/>
          <w:sz w:val="28"/>
        </w:rPr>
      </w:pPr>
      <w:r w:rsidRPr="00972CA8">
        <w:rPr>
          <w:b/>
          <w:sz w:val="28"/>
        </w:rPr>
        <w:t>Poli</w:t>
      </w:r>
      <w:r w:rsidR="00732BA7" w:rsidRPr="00972CA8">
        <w:rPr>
          <w:b/>
          <w:sz w:val="28"/>
        </w:rPr>
        <w:t>cy: Countering Terrorism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6045"/>
      </w:tblGrid>
      <w:tr w:rsidR="00A250AE" w:rsidRPr="00972CA8">
        <w:tc>
          <w:tcPr>
            <w:tcW w:w="2628" w:type="dxa"/>
            <w:shd w:val="clear" w:color="auto" w:fill="auto"/>
          </w:tcPr>
          <w:p w:rsidR="00A250AE" w:rsidRPr="00972CA8" w:rsidRDefault="00A250AE" w:rsidP="00866A18">
            <w:pPr>
              <w:rPr>
                <w:rFonts w:ascii="Calibri" w:hAnsi="Calibri"/>
              </w:rPr>
            </w:pPr>
            <w:r w:rsidRPr="00972CA8">
              <w:rPr>
                <w:rFonts w:ascii="Calibri" w:hAnsi="Calibri"/>
              </w:rPr>
              <w:t>Policy number</w:t>
            </w:r>
          </w:p>
        </w:tc>
        <w:tc>
          <w:tcPr>
            <w:tcW w:w="6694" w:type="dxa"/>
            <w:shd w:val="clear" w:color="auto" w:fill="auto"/>
          </w:tcPr>
          <w:p w:rsidR="00A250AE" w:rsidRPr="00972CA8" w:rsidRDefault="00A250AE" w:rsidP="00866A18">
            <w:pPr>
              <w:rPr>
                <w:rFonts w:ascii="Calibri" w:hAnsi="Calibri"/>
              </w:rPr>
            </w:pPr>
            <w:r w:rsidRPr="00972CA8">
              <w:rPr>
                <w:rFonts w:ascii="Calibri" w:hAnsi="Calibri"/>
              </w:rPr>
              <w:t>3</w:t>
            </w:r>
          </w:p>
        </w:tc>
      </w:tr>
      <w:tr w:rsidR="00A250AE" w:rsidRPr="00972CA8">
        <w:tc>
          <w:tcPr>
            <w:tcW w:w="2628" w:type="dxa"/>
            <w:shd w:val="clear" w:color="auto" w:fill="auto"/>
          </w:tcPr>
          <w:p w:rsidR="00A250AE" w:rsidRPr="00972CA8" w:rsidRDefault="00A250AE" w:rsidP="00866A18">
            <w:pPr>
              <w:rPr>
                <w:rFonts w:ascii="Calibri" w:hAnsi="Calibri"/>
              </w:rPr>
            </w:pPr>
            <w:r w:rsidRPr="00972CA8">
              <w:rPr>
                <w:rFonts w:ascii="Calibri" w:hAnsi="Calibri"/>
              </w:rPr>
              <w:t>Approved by HWC Executive</w:t>
            </w:r>
          </w:p>
        </w:tc>
        <w:tc>
          <w:tcPr>
            <w:tcW w:w="6694" w:type="dxa"/>
            <w:shd w:val="clear" w:color="auto" w:fill="auto"/>
          </w:tcPr>
          <w:p w:rsidR="00A250AE" w:rsidRPr="00972CA8" w:rsidRDefault="00A250AE" w:rsidP="00866A18">
            <w:pPr>
              <w:rPr>
                <w:rFonts w:ascii="Calibri" w:hAnsi="Calibri"/>
                <w:i/>
              </w:rPr>
            </w:pPr>
            <w:r w:rsidRPr="00972CA8">
              <w:rPr>
                <w:rFonts w:ascii="Calibri" w:hAnsi="Calibri"/>
                <w:i/>
              </w:rPr>
              <w:t>17</w:t>
            </w:r>
            <w:r w:rsidRPr="00972CA8">
              <w:rPr>
                <w:rFonts w:ascii="Calibri" w:hAnsi="Calibri"/>
                <w:i/>
                <w:vertAlign w:val="superscript"/>
              </w:rPr>
              <w:t>th</w:t>
            </w:r>
            <w:r w:rsidRPr="00972CA8">
              <w:rPr>
                <w:rFonts w:ascii="Calibri" w:hAnsi="Calibri"/>
                <w:i/>
              </w:rPr>
              <w:t xml:space="preserve"> December 2017</w:t>
            </w:r>
          </w:p>
        </w:tc>
      </w:tr>
      <w:tr w:rsidR="00A250AE" w:rsidRPr="00972CA8">
        <w:tc>
          <w:tcPr>
            <w:tcW w:w="2628" w:type="dxa"/>
            <w:shd w:val="clear" w:color="auto" w:fill="auto"/>
          </w:tcPr>
          <w:p w:rsidR="00A250AE" w:rsidRPr="00972CA8" w:rsidRDefault="00A250AE" w:rsidP="00866A18">
            <w:pPr>
              <w:rPr>
                <w:rFonts w:ascii="Calibri" w:hAnsi="Calibri"/>
              </w:rPr>
            </w:pPr>
            <w:r w:rsidRPr="00972CA8">
              <w:rPr>
                <w:rFonts w:ascii="Calibri" w:hAnsi="Calibri"/>
              </w:rPr>
              <w:t>Commenced</w:t>
            </w:r>
          </w:p>
        </w:tc>
        <w:tc>
          <w:tcPr>
            <w:tcW w:w="6694" w:type="dxa"/>
            <w:shd w:val="clear" w:color="auto" w:fill="auto"/>
          </w:tcPr>
          <w:p w:rsidR="00A250AE" w:rsidRPr="00972CA8" w:rsidRDefault="00A250AE" w:rsidP="00866A18">
            <w:pPr>
              <w:rPr>
                <w:rFonts w:ascii="Calibri" w:hAnsi="Calibri"/>
                <w:i/>
              </w:rPr>
            </w:pPr>
            <w:r w:rsidRPr="00972CA8">
              <w:rPr>
                <w:rFonts w:ascii="Calibri" w:hAnsi="Calibri"/>
                <w:i/>
              </w:rPr>
              <w:t>17</w:t>
            </w:r>
            <w:r w:rsidRPr="00972CA8">
              <w:rPr>
                <w:rFonts w:ascii="Calibri" w:hAnsi="Calibri"/>
                <w:i/>
                <w:vertAlign w:val="superscript"/>
              </w:rPr>
              <w:t>th</w:t>
            </w:r>
            <w:r w:rsidRPr="00972CA8">
              <w:rPr>
                <w:rFonts w:ascii="Calibri" w:hAnsi="Calibri"/>
                <w:i/>
              </w:rPr>
              <w:t xml:space="preserve"> December 2017</w:t>
            </w:r>
          </w:p>
        </w:tc>
      </w:tr>
      <w:tr w:rsidR="00A250AE" w:rsidRPr="00972CA8">
        <w:tc>
          <w:tcPr>
            <w:tcW w:w="2628" w:type="dxa"/>
            <w:shd w:val="clear" w:color="auto" w:fill="auto"/>
          </w:tcPr>
          <w:p w:rsidR="00A250AE" w:rsidRPr="00972CA8" w:rsidRDefault="00A250AE" w:rsidP="00866A18">
            <w:pPr>
              <w:rPr>
                <w:rFonts w:ascii="Calibri" w:hAnsi="Calibri"/>
              </w:rPr>
            </w:pPr>
            <w:r w:rsidRPr="00972CA8">
              <w:rPr>
                <w:rFonts w:ascii="Calibri" w:hAnsi="Calibri"/>
              </w:rPr>
              <w:t>Last amended</w:t>
            </w:r>
          </w:p>
        </w:tc>
        <w:tc>
          <w:tcPr>
            <w:tcW w:w="6694" w:type="dxa"/>
            <w:shd w:val="clear" w:color="auto" w:fill="auto"/>
          </w:tcPr>
          <w:p w:rsidR="00A250AE" w:rsidRPr="00972CA8" w:rsidRDefault="00A250AE" w:rsidP="00866A18">
            <w:pPr>
              <w:rPr>
                <w:rFonts w:ascii="Calibri" w:hAnsi="Calibri"/>
              </w:rPr>
            </w:pPr>
            <w:r w:rsidRPr="00972CA8">
              <w:rPr>
                <w:rFonts w:ascii="Calibri" w:hAnsi="Calibri"/>
              </w:rPr>
              <w:t>15</w:t>
            </w:r>
            <w:r w:rsidRPr="00972CA8">
              <w:rPr>
                <w:rFonts w:ascii="Calibri" w:hAnsi="Calibri"/>
                <w:vertAlign w:val="superscript"/>
              </w:rPr>
              <w:t>th</w:t>
            </w:r>
            <w:r w:rsidRPr="00972CA8">
              <w:rPr>
                <w:rFonts w:ascii="Calibri" w:hAnsi="Calibri"/>
              </w:rPr>
              <w:t xml:space="preserve"> December 2016</w:t>
            </w:r>
          </w:p>
        </w:tc>
      </w:tr>
      <w:tr w:rsidR="00A250AE" w:rsidRPr="00972CA8">
        <w:tc>
          <w:tcPr>
            <w:tcW w:w="2628" w:type="dxa"/>
            <w:shd w:val="clear" w:color="auto" w:fill="auto"/>
          </w:tcPr>
          <w:p w:rsidR="00A250AE" w:rsidRPr="00972CA8" w:rsidRDefault="00A250AE" w:rsidP="00866A18">
            <w:pPr>
              <w:rPr>
                <w:rFonts w:ascii="Calibri" w:hAnsi="Calibri"/>
              </w:rPr>
            </w:pPr>
            <w:r w:rsidRPr="00972CA8">
              <w:rPr>
                <w:rFonts w:ascii="Calibri" w:hAnsi="Calibri"/>
              </w:rPr>
              <w:t>Planned revision date</w:t>
            </w:r>
          </w:p>
        </w:tc>
        <w:tc>
          <w:tcPr>
            <w:tcW w:w="6694" w:type="dxa"/>
            <w:shd w:val="clear" w:color="auto" w:fill="auto"/>
          </w:tcPr>
          <w:p w:rsidR="00A250AE" w:rsidRPr="00972CA8" w:rsidRDefault="00A250AE" w:rsidP="00866A18">
            <w:pPr>
              <w:rPr>
                <w:rFonts w:ascii="Calibri" w:hAnsi="Calibri"/>
              </w:rPr>
            </w:pPr>
            <w:r w:rsidRPr="00972CA8">
              <w:rPr>
                <w:rFonts w:ascii="Calibri" w:hAnsi="Calibri"/>
              </w:rPr>
              <w:t>31</w:t>
            </w:r>
            <w:r w:rsidRPr="00972CA8">
              <w:rPr>
                <w:rFonts w:ascii="Calibri" w:hAnsi="Calibri"/>
                <w:vertAlign w:val="superscript"/>
              </w:rPr>
              <w:t>st</w:t>
            </w:r>
            <w:r w:rsidRPr="00972CA8">
              <w:rPr>
                <w:rFonts w:ascii="Calibri" w:hAnsi="Calibri"/>
              </w:rPr>
              <w:t xml:space="preserve"> March 2017</w:t>
            </w:r>
          </w:p>
        </w:tc>
      </w:tr>
      <w:tr w:rsidR="00A250AE" w:rsidRPr="00972CA8">
        <w:tc>
          <w:tcPr>
            <w:tcW w:w="2628" w:type="dxa"/>
            <w:shd w:val="clear" w:color="auto" w:fill="auto"/>
          </w:tcPr>
          <w:p w:rsidR="00A250AE" w:rsidRPr="00972CA8" w:rsidRDefault="00A250AE" w:rsidP="00866A18">
            <w:pPr>
              <w:rPr>
                <w:rFonts w:ascii="Calibri" w:hAnsi="Calibri"/>
              </w:rPr>
            </w:pPr>
            <w:r w:rsidRPr="00972CA8">
              <w:rPr>
                <w:rFonts w:ascii="Calibri" w:hAnsi="Calibri"/>
              </w:rPr>
              <w:t>Associated instruments/ policies</w:t>
            </w:r>
          </w:p>
        </w:tc>
        <w:tc>
          <w:tcPr>
            <w:tcW w:w="6694" w:type="dxa"/>
            <w:shd w:val="clear" w:color="auto" w:fill="auto"/>
          </w:tcPr>
          <w:p w:rsidR="00A250AE" w:rsidRPr="00972CA8" w:rsidRDefault="00A250AE" w:rsidP="00A250AE">
            <w:pPr>
              <w:numPr>
                <w:ilvl w:val="0"/>
                <w:numId w:val="1"/>
              </w:numPr>
              <w:spacing w:after="0" w:line="240" w:lineRule="auto"/>
              <w:rPr>
                <w:rFonts w:ascii="Calibri" w:hAnsi="Calibri"/>
              </w:rPr>
            </w:pPr>
            <w:r w:rsidRPr="00972CA8">
              <w:rPr>
                <w:rFonts w:ascii="Calibri" w:hAnsi="Calibri"/>
                <w:i/>
              </w:rPr>
              <w:t>Corporations Act 2001</w:t>
            </w:r>
            <w:r w:rsidRPr="00972CA8">
              <w:rPr>
                <w:rFonts w:ascii="Calibri" w:hAnsi="Calibri"/>
              </w:rPr>
              <w:t xml:space="preserve"> (Commonwealth)</w:t>
            </w:r>
          </w:p>
          <w:p w:rsidR="00A250AE" w:rsidRPr="00972CA8" w:rsidRDefault="00A250AE" w:rsidP="00A250AE">
            <w:pPr>
              <w:numPr>
                <w:ilvl w:val="0"/>
                <w:numId w:val="1"/>
              </w:numPr>
              <w:spacing w:after="0" w:line="240" w:lineRule="auto"/>
              <w:rPr>
                <w:rFonts w:ascii="Calibri" w:hAnsi="Calibri"/>
              </w:rPr>
            </w:pPr>
            <w:r w:rsidRPr="00972CA8">
              <w:rPr>
                <w:rFonts w:ascii="Calibri" w:hAnsi="Calibri"/>
              </w:rPr>
              <w:t>HWC Constitution</w:t>
            </w:r>
          </w:p>
          <w:p w:rsidR="00A250AE" w:rsidRPr="00972CA8" w:rsidRDefault="00A250AE" w:rsidP="00A250AE">
            <w:pPr>
              <w:numPr>
                <w:ilvl w:val="0"/>
                <w:numId w:val="1"/>
              </w:numPr>
              <w:spacing w:after="0" w:line="240" w:lineRule="auto"/>
              <w:rPr>
                <w:rFonts w:ascii="Calibri" w:hAnsi="Calibri"/>
              </w:rPr>
            </w:pPr>
            <w:r w:rsidRPr="00972CA8">
              <w:rPr>
                <w:rFonts w:ascii="Calibri" w:hAnsi="Calibri"/>
              </w:rPr>
              <w:t>UNHCR 1325</w:t>
            </w:r>
          </w:p>
          <w:p w:rsidR="00A250AE" w:rsidRPr="00972CA8" w:rsidRDefault="00A250AE" w:rsidP="00A250AE">
            <w:pPr>
              <w:numPr>
                <w:ilvl w:val="0"/>
                <w:numId w:val="1"/>
              </w:numPr>
              <w:spacing w:after="0" w:line="240" w:lineRule="auto"/>
              <w:rPr>
                <w:rFonts w:ascii="Calibri" w:hAnsi="Calibri"/>
              </w:rPr>
            </w:pPr>
            <w:r w:rsidRPr="00972CA8">
              <w:rPr>
                <w:rFonts w:ascii="Calibri" w:hAnsi="Calibri"/>
              </w:rPr>
              <w:t>The Paris Declaration on Aid Effectiveness</w:t>
            </w:r>
          </w:p>
          <w:p w:rsidR="00A250AE" w:rsidRPr="00972CA8" w:rsidRDefault="00A250AE" w:rsidP="00A250AE">
            <w:pPr>
              <w:numPr>
                <w:ilvl w:val="0"/>
                <w:numId w:val="1"/>
              </w:numPr>
              <w:spacing w:after="0" w:line="240" w:lineRule="auto"/>
              <w:rPr>
                <w:rFonts w:ascii="Calibri" w:hAnsi="Calibri"/>
              </w:rPr>
            </w:pPr>
            <w:r w:rsidRPr="00972CA8">
              <w:rPr>
                <w:rFonts w:ascii="Calibri" w:hAnsi="Calibri"/>
              </w:rPr>
              <w:t>The Istanbul Statement on CSO Development Effectiveness</w:t>
            </w:r>
          </w:p>
          <w:p w:rsidR="00A250AE" w:rsidRPr="00972CA8" w:rsidRDefault="00A250AE" w:rsidP="00A250AE">
            <w:pPr>
              <w:numPr>
                <w:ilvl w:val="0"/>
                <w:numId w:val="1"/>
              </w:numPr>
              <w:spacing w:after="0" w:line="240" w:lineRule="auto"/>
              <w:rPr>
                <w:rFonts w:ascii="Calibri" w:hAnsi="Calibri"/>
              </w:rPr>
            </w:pPr>
            <w:r w:rsidRPr="00972CA8">
              <w:rPr>
                <w:rFonts w:ascii="Calibri" w:hAnsi="Calibri"/>
              </w:rPr>
              <w:t>The Australian Council for International Development’s Code of Conduct</w:t>
            </w:r>
          </w:p>
          <w:p w:rsidR="00A250AE" w:rsidRPr="00972CA8" w:rsidRDefault="00A250AE" w:rsidP="00A250AE">
            <w:pPr>
              <w:numPr>
                <w:ilvl w:val="0"/>
                <w:numId w:val="1"/>
              </w:numPr>
              <w:spacing w:after="0" w:line="240" w:lineRule="auto"/>
              <w:rPr>
                <w:rFonts w:ascii="Calibri" w:hAnsi="Calibri"/>
              </w:rPr>
            </w:pPr>
            <w:proofErr w:type="spellStart"/>
            <w:r w:rsidRPr="00972CA8">
              <w:rPr>
                <w:rFonts w:ascii="Calibri" w:hAnsi="Calibri"/>
              </w:rPr>
              <w:t>PiCCA</w:t>
            </w:r>
            <w:proofErr w:type="spellEnd"/>
            <w:r w:rsidRPr="00972CA8">
              <w:rPr>
                <w:rFonts w:ascii="Calibri" w:hAnsi="Calibri"/>
              </w:rPr>
              <w:t xml:space="preserve"> Policies as a collaborative partner to HWC</w:t>
            </w:r>
          </w:p>
        </w:tc>
      </w:tr>
    </w:tbl>
    <w:p w:rsidR="00A250AE" w:rsidRPr="00666E79" w:rsidRDefault="00A250AE" w:rsidP="00A250AE">
      <w:pPr>
        <w:rPr>
          <w:rFonts w:ascii="Calibri" w:hAnsi="Calibri"/>
        </w:rPr>
      </w:pPr>
    </w:p>
    <w:p w:rsidR="00A250AE" w:rsidRPr="00666E79" w:rsidRDefault="00A250AE" w:rsidP="00972CA8">
      <w:pPr>
        <w:numPr>
          <w:ilvl w:val="0"/>
          <w:numId w:val="2"/>
        </w:numPr>
        <w:spacing w:after="120" w:line="240" w:lineRule="auto"/>
        <w:ind w:right="-489" w:hanging="502"/>
        <w:jc w:val="both"/>
        <w:rPr>
          <w:rFonts w:ascii="Calibri" w:hAnsi="Calibri"/>
          <w:b/>
        </w:rPr>
      </w:pPr>
      <w:r w:rsidRPr="00666E79">
        <w:rPr>
          <w:rFonts w:ascii="Calibri" w:hAnsi="Calibri"/>
          <w:b/>
        </w:rPr>
        <w:t>Overview</w:t>
      </w:r>
    </w:p>
    <w:p w:rsidR="00A250AE" w:rsidRPr="00666E79" w:rsidRDefault="00A250AE" w:rsidP="00972CA8">
      <w:pPr>
        <w:spacing w:after="120"/>
        <w:ind w:left="-426" w:right="-489" w:hanging="76"/>
        <w:jc w:val="both"/>
        <w:rPr>
          <w:rFonts w:ascii="Calibri" w:hAnsi="Calibri"/>
        </w:rPr>
      </w:pPr>
      <w:proofErr w:type="spellStart"/>
      <w:r>
        <w:rPr>
          <w:rStyle w:val="Textbold"/>
          <w:rFonts w:ascii="Calibri" w:hAnsi="Calibri"/>
          <w:b w:val="0"/>
        </w:rPr>
        <w:t>Hako</w:t>
      </w:r>
      <w:proofErr w:type="spellEnd"/>
      <w:r>
        <w:rPr>
          <w:rStyle w:val="Textbold"/>
          <w:rFonts w:ascii="Calibri" w:hAnsi="Calibri"/>
          <w:b w:val="0"/>
        </w:rPr>
        <w:t xml:space="preserve"> Women’s Collective members and community partners including all office bearers, project teams and program trainers </w:t>
      </w:r>
      <w:r w:rsidRPr="00666E79">
        <w:rPr>
          <w:rStyle w:val="Textbold"/>
          <w:rFonts w:ascii="Calibri" w:hAnsi="Calibri"/>
          <w:b w:val="0"/>
        </w:rPr>
        <w:t xml:space="preserve">will use its best endeavours to ensure that its funding and support does not aid or support terrorism or proscribed terrorist organisations. </w:t>
      </w:r>
    </w:p>
    <w:p w:rsidR="00A250AE" w:rsidRPr="00666E79" w:rsidRDefault="00A250AE" w:rsidP="00972CA8">
      <w:pPr>
        <w:numPr>
          <w:ilvl w:val="0"/>
          <w:numId w:val="2"/>
        </w:numPr>
        <w:spacing w:after="120" w:line="240" w:lineRule="auto"/>
        <w:ind w:right="-489" w:hanging="502"/>
        <w:jc w:val="both"/>
        <w:rPr>
          <w:rFonts w:ascii="Calibri" w:hAnsi="Calibri"/>
          <w:b/>
        </w:rPr>
      </w:pPr>
      <w:r w:rsidRPr="00666E79">
        <w:rPr>
          <w:rFonts w:ascii="Calibri" w:hAnsi="Calibri"/>
          <w:b/>
        </w:rPr>
        <w:t>Application</w:t>
      </w:r>
    </w:p>
    <w:p w:rsidR="00A250AE" w:rsidRPr="00666E79" w:rsidRDefault="00A250AE" w:rsidP="00972CA8">
      <w:pPr>
        <w:spacing w:after="120"/>
        <w:ind w:right="-489" w:hanging="502"/>
        <w:jc w:val="both"/>
        <w:rPr>
          <w:rFonts w:ascii="Calibri" w:hAnsi="Calibri"/>
        </w:rPr>
      </w:pPr>
      <w:r w:rsidRPr="00666E79">
        <w:rPr>
          <w:rFonts w:ascii="Calibri" w:hAnsi="Calibri"/>
        </w:rPr>
        <w:t xml:space="preserve">This policy applies to all Members. </w:t>
      </w:r>
    </w:p>
    <w:p w:rsidR="00A250AE" w:rsidRPr="00666E79" w:rsidRDefault="00A250AE" w:rsidP="00972CA8">
      <w:pPr>
        <w:numPr>
          <w:ilvl w:val="0"/>
          <w:numId w:val="2"/>
        </w:numPr>
        <w:spacing w:after="120" w:line="240" w:lineRule="auto"/>
        <w:ind w:right="-489" w:hanging="502"/>
        <w:jc w:val="both"/>
        <w:rPr>
          <w:rFonts w:ascii="Calibri" w:hAnsi="Calibri"/>
          <w:b/>
        </w:rPr>
      </w:pPr>
      <w:r w:rsidRPr="00666E79">
        <w:rPr>
          <w:rFonts w:ascii="Calibri" w:hAnsi="Calibri"/>
          <w:b/>
        </w:rPr>
        <w:t>Policy</w:t>
      </w:r>
    </w:p>
    <w:p w:rsidR="00A250AE" w:rsidRDefault="00A250AE" w:rsidP="00972CA8">
      <w:pPr>
        <w:numPr>
          <w:ilvl w:val="1"/>
          <w:numId w:val="2"/>
        </w:numPr>
        <w:tabs>
          <w:tab w:val="clear" w:pos="792"/>
          <w:tab w:val="num" w:pos="-142"/>
        </w:tabs>
        <w:spacing w:after="120" w:line="240" w:lineRule="auto"/>
        <w:ind w:left="0" w:right="-489" w:firstLine="284"/>
        <w:jc w:val="both"/>
        <w:rPr>
          <w:rFonts w:ascii="Calibri" w:hAnsi="Calibri"/>
        </w:rPr>
      </w:pPr>
      <w:r>
        <w:rPr>
          <w:rFonts w:ascii="Calibri" w:hAnsi="Calibri"/>
        </w:rPr>
        <w:t xml:space="preserve">HWC recognises that national and international counter-terrorism strategy includes eliminating the financing by individuals or entities of any violent extremism or use of chemical, biological, radiological and nuclear terrorism. HWC also recognises that part of the PNG and ABG Government’s </w:t>
      </w:r>
      <w:r w:rsidR="00972CA8">
        <w:rPr>
          <w:rFonts w:ascii="Calibri" w:hAnsi="Calibri"/>
        </w:rPr>
        <w:t>role in counter-terrorism is to</w:t>
      </w:r>
    </w:p>
    <w:p w:rsidR="00A250AE" w:rsidRPr="00CC050A" w:rsidRDefault="00A250AE" w:rsidP="00972CA8">
      <w:pPr>
        <w:tabs>
          <w:tab w:val="num" w:pos="-142"/>
        </w:tabs>
        <w:spacing w:after="120"/>
        <w:ind w:right="-489" w:firstLine="284"/>
        <w:jc w:val="both"/>
        <w:rPr>
          <w:rFonts w:ascii="Calibri" w:hAnsi="Calibri"/>
        </w:rPr>
      </w:pPr>
      <w:r>
        <w:rPr>
          <w:rFonts w:ascii="Calibri" w:hAnsi="Calibri"/>
        </w:rPr>
        <w:t>“</w:t>
      </w:r>
      <w:proofErr w:type="gramStart"/>
      <w:r>
        <w:rPr>
          <w:rFonts w:ascii="Calibri" w:hAnsi="Calibri"/>
        </w:rPr>
        <w:t>support</w:t>
      </w:r>
      <w:proofErr w:type="gramEnd"/>
      <w:r>
        <w:rPr>
          <w:rFonts w:ascii="Calibri" w:hAnsi="Calibri"/>
        </w:rPr>
        <w:t xml:space="preserve"> and develop international initiatives that build resilience against extremist groups th</w:t>
      </w:r>
      <w:r w:rsidR="00972CA8">
        <w:rPr>
          <w:rFonts w:ascii="Calibri" w:hAnsi="Calibri"/>
        </w:rPr>
        <w:t>at advocate terrorist activity…</w:t>
      </w:r>
      <w:r>
        <w:rPr>
          <w:rFonts w:ascii="Calibri" w:hAnsi="Calibri"/>
        </w:rPr>
        <w:t>that build social cohesion, including interfaith outreach activities…[and that] coordinate capacity building…”</w:t>
      </w:r>
      <w:r>
        <w:rPr>
          <w:rStyle w:val="FootnoteReference"/>
          <w:rFonts w:ascii="Calibri" w:hAnsi="Calibri"/>
        </w:rPr>
        <w:footnoteReference w:id="-1"/>
      </w:r>
    </w:p>
    <w:p w:rsidR="00972CA8" w:rsidRDefault="00A250AE" w:rsidP="00972CA8">
      <w:pPr>
        <w:numPr>
          <w:ilvl w:val="1"/>
          <w:numId w:val="2"/>
        </w:numPr>
        <w:tabs>
          <w:tab w:val="clear" w:pos="792"/>
          <w:tab w:val="num" w:pos="-142"/>
        </w:tabs>
        <w:spacing w:after="120" w:line="240" w:lineRule="auto"/>
        <w:ind w:left="0" w:right="-489" w:firstLine="284"/>
        <w:jc w:val="both"/>
        <w:rPr>
          <w:rFonts w:ascii="Calibri" w:hAnsi="Calibri"/>
        </w:rPr>
      </w:pPr>
      <w:r w:rsidRPr="00666E79">
        <w:rPr>
          <w:rFonts w:ascii="Calibri" w:hAnsi="Calibri"/>
        </w:rPr>
        <w:t>Within its capacity and through its work</w:t>
      </w:r>
      <w:r>
        <w:rPr>
          <w:rFonts w:ascii="Calibri" w:hAnsi="Calibri"/>
        </w:rPr>
        <w:t>, HWC</w:t>
      </w:r>
      <w:r w:rsidR="00972CA8">
        <w:rPr>
          <w:rFonts w:ascii="Calibri" w:hAnsi="Calibri"/>
        </w:rPr>
        <w:t>:</w:t>
      </w:r>
    </w:p>
    <w:p w:rsidR="00972CA8" w:rsidRDefault="00972CA8" w:rsidP="00972CA8">
      <w:pPr>
        <w:numPr>
          <w:ilvl w:val="1"/>
          <w:numId w:val="2"/>
        </w:numPr>
        <w:tabs>
          <w:tab w:val="clear" w:pos="792"/>
          <w:tab w:val="num" w:pos="-142"/>
        </w:tabs>
        <w:spacing w:after="120" w:line="240" w:lineRule="auto"/>
        <w:ind w:left="0" w:right="-489" w:firstLine="284"/>
        <w:jc w:val="both"/>
        <w:rPr>
          <w:rFonts w:ascii="Calibri" w:hAnsi="Calibri"/>
        </w:rPr>
      </w:pPr>
      <w:r>
        <w:rPr>
          <w:rFonts w:ascii="Calibri" w:hAnsi="Calibri"/>
        </w:rPr>
        <w:t>C</w:t>
      </w:r>
      <w:r w:rsidR="00A250AE" w:rsidRPr="00972CA8">
        <w:rPr>
          <w:rFonts w:ascii="Calibri" w:hAnsi="Calibri"/>
        </w:rPr>
        <w:t>hecks lists of proscribed organisations on the Papua New Guinea and Australian Foreign Affairs and National Security websites before providing direct funding, support or resources, ensuring that the beneficiary is not included on either list</w:t>
      </w:r>
    </w:p>
    <w:p w:rsidR="00972CA8" w:rsidRDefault="00972CA8" w:rsidP="00972CA8">
      <w:pPr>
        <w:numPr>
          <w:ilvl w:val="1"/>
          <w:numId w:val="2"/>
        </w:numPr>
        <w:tabs>
          <w:tab w:val="clear" w:pos="792"/>
          <w:tab w:val="num" w:pos="-142"/>
        </w:tabs>
        <w:spacing w:after="120" w:line="240" w:lineRule="auto"/>
        <w:ind w:left="0" w:right="-489" w:firstLine="284"/>
        <w:jc w:val="both"/>
        <w:rPr>
          <w:rFonts w:ascii="Calibri" w:hAnsi="Calibri"/>
        </w:rPr>
      </w:pPr>
      <w:r>
        <w:rPr>
          <w:rFonts w:ascii="Calibri" w:hAnsi="Calibri"/>
        </w:rPr>
        <w:t>E</w:t>
      </w:r>
      <w:r w:rsidR="00A250AE" w:rsidRPr="00972CA8">
        <w:rPr>
          <w:rFonts w:ascii="Calibri" w:hAnsi="Calibri"/>
        </w:rPr>
        <w:t>nsures that organisations to whom funding, support or resources are being provided, know of, understand and comply with the legal and contractual requirements</w:t>
      </w:r>
    </w:p>
    <w:p w:rsidR="00972CA8" w:rsidRDefault="00972CA8" w:rsidP="00972CA8">
      <w:pPr>
        <w:numPr>
          <w:ilvl w:val="1"/>
          <w:numId w:val="2"/>
        </w:numPr>
        <w:tabs>
          <w:tab w:val="clear" w:pos="792"/>
          <w:tab w:val="num" w:pos="-142"/>
        </w:tabs>
        <w:spacing w:after="120" w:line="240" w:lineRule="auto"/>
        <w:ind w:left="0" w:right="-489" w:firstLine="284"/>
        <w:jc w:val="both"/>
        <w:rPr>
          <w:rFonts w:ascii="Calibri" w:hAnsi="Calibri"/>
        </w:rPr>
      </w:pPr>
      <w:r>
        <w:rPr>
          <w:rFonts w:ascii="Calibri" w:hAnsi="Calibri"/>
        </w:rPr>
        <w:t>C</w:t>
      </w:r>
      <w:r w:rsidR="00A250AE" w:rsidRPr="00972CA8">
        <w:rPr>
          <w:rFonts w:ascii="Calibri" w:hAnsi="Calibri"/>
        </w:rPr>
        <w:t>hecks that HWC funding is received and used by the intended beneficiaries for development and/or relief</w:t>
      </w:r>
    </w:p>
    <w:p w:rsidR="00A250AE" w:rsidRPr="00972CA8" w:rsidRDefault="00972CA8" w:rsidP="00972CA8">
      <w:pPr>
        <w:numPr>
          <w:ilvl w:val="1"/>
          <w:numId w:val="2"/>
        </w:numPr>
        <w:tabs>
          <w:tab w:val="clear" w:pos="792"/>
          <w:tab w:val="num" w:pos="-142"/>
        </w:tabs>
        <w:spacing w:after="120" w:line="240" w:lineRule="auto"/>
        <w:ind w:left="0" w:right="-489" w:firstLine="284"/>
        <w:jc w:val="both"/>
        <w:rPr>
          <w:rFonts w:ascii="Calibri" w:hAnsi="Calibri"/>
        </w:rPr>
      </w:pPr>
      <w:r>
        <w:rPr>
          <w:rFonts w:ascii="Calibri" w:hAnsi="Calibri"/>
        </w:rPr>
        <w:t>I</w:t>
      </w:r>
      <w:r w:rsidR="00A250AE" w:rsidRPr="00972CA8">
        <w:rPr>
          <w:rFonts w:ascii="Calibri" w:hAnsi="Calibri"/>
        </w:rPr>
        <w:t>nforms th</w:t>
      </w:r>
      <w:r w:rsidRPr="00972CA8">
        <w:rPr>
          <w:rFonts w:ascii="Calibri" w:hAnsi="Calibri"/>
        </w:rPr>
        <w:t>e Papua New Guinea Police and, where Australian friends are involved, the</w:t>
      </w:r>
      <w:r w:rsidR="00A250AE" w:rsidRPr="00972CA8">
        <w:rPr>
          <w:rFonts w:ascii="Calibri" w:hAnsi="Calibri"/>
        </w:rPr>
        <w:t xml:space="preserve"> Australian Federal Police immediately any credible information becomes available suggesting any links between HWC supported groups and proscribed organisations and/or terrorist activity. </w:t>
      </w:r>
    </w:p>
    <w:p w:rsidR="00EB5F91" w:rsidRPr="00732BA7" w:rsidRDefault="0028737A" w:rsidP="00972CA8">
      <w:pPr>
        <w:tabs>
          <w:tab w:val="num" w:pos="-142"/>
        </w:tabs>
        <w:ind w:right="-489" w:hanging="1218"/>
        <w:rPr>
          <w:b/>
          <w:sz w:val="28"/>
        </w:rPr>
      </w:pPr>
    </w:p>
    <w:sectPr w:rsidR="00EB5F91" w:rsidRPr="00732BA7" w:rsidSect="007E468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MV Boli">
    <w:charset w:val="00"/>
    <w:family w:val="auto"/>
    <w:pitch w:val="variable"/>
    <w:sig w:usb0="00000003" w:usb1="00000000" w:usb2="00000100" w:usb3="00000000" w:csb0="00000001" w:csb1="00000000"/>
  </w:font>
  <w:font w:name="Tempus Sans ITC">
    <w:altName w:val="Times New Roman"/>
    <w:panose1 w:val="00000000000000000000"/>
    <w:charset w:val="4D"/>
    <w:family w:val="roman"/>
    <w:notTrueType/>
    <w:pitch w:val="default"/>
    <w:sig w:usb0="00000003" w:usb1="00000000" w:usb2="00000000" w:usb3="00000000" w:csb0="00000001" w:csb1="00000000"/>
  </w:font>
  <w:font w:name="RomanC">
    <w:altName w:val="Times New Roman"/>
    <w:charset w:val="00"/>
    <w:family w:val="auto"/>
    <w:pitch w:val="variable"/>
    <w:sig w:usb0="00000287" w:usb1="00000000" w:usb2="00000000" w:usb3="00000000" w:csb0="0000000F" w:csb1="00000000"/>
  </w:font>
  <w:font w:name="Comic Sans MS">
    <w:panose1 w:val="030F07020303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250AE" w:rsidRPr="00FF1F41" w:rsidRDefault="00A250AE" w:rsidP="00A250AE">
      <w:pPr>
        <w:pStyle w:val="FootnoteText"/>
        <w:rPr>
          <w:rFonts w:ascii="Calibri" w:hAnsi="Calibri"/>
        </w:rPr>
      </w:pPr>
      <w:r>
        <w:rPr>
          <w:rStyle w:val="FootnoteReference"/>
        </w:rPr>
        <w:footnoteRef/>
      </w:r>
      <w:r>
        <w:t xml:space="preserve"> </w:t>
      </w:r>
      <w:r w:rsidRPr="00FF1F41">
        <w:rPr>
          <w:rFonts w:ascii="Calibri" w:hAnsi="Calibri"/>
        </w:rPr>
        <w:t>Department of Foreign Affairs and Trade website, accessed 2 December 2014: http://www.dfat.gov.au/issues/terrorism.html</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74962"/>
    <w:multiLevelType w:val="multilevel"/>
    <w:tmpl w:val="7FA8F4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1E830C1"/>
    <w:multiLevelType w:val="hybridMultilevel"/>
    <w:tmpl w:val="5DD62F26"/>
    <w:lvl w:ilvl="0" w:tplc="EB801A34">
      <w:start w:val="1"/>
      <w:numFmt w:val="bullet"/>
      <w:lvlText w:val=""/>
      <w:lvlJc w:val="left"/>
      <w:pPr>
        <w:tabs>
          <w:tab w:val="num" w:pos="360"/>
        </w:tabs>
        <w:ind w:left="360" w:hanging="360"/>
      </w:pPr>
      <w:rPr>
        <w:rFonts w:ascii="Wingdings" w:hAnsi="Wingdings" w:hint="default"/>
        <w:b w:val="0"/>
        <w:i w:val="0"/>
        <w:sz w:val="20"/>
        <w:szCs w:val="20"/>
      </w:rPr>
    </w:lvl>
    <w:lvl w:ilvl="1" w:tplc="0C09000F">
      <w:start w:val="1"/>
      <w:numFmt w:val="decimal"/>
      <w:lvlText w:val="%2."/>
      <w:lvlJc w:val="left"/>
      <w:pPr>
        <w:tabs>
          <w:tab w:val="num" w:pos="1080"/>
        </w:tabs>
        <w:ind w:left="1080" w:hanging="360"/>
      </w:pPr>
      <w:rPr>
        <w:rFonts w:hint="default"/>
        <w:b w:val="0"/>
        <w:i w:val="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169B"/>
    <w:rsid w:val="000953DF"/>
    <w:rsid w:val="0012433D"/>
    <w:rsid w:val="001E6EE0"/>
    <w:rsid w:val="00732BA7"/>
    <w:rsid w:val="00972CA8"/>
    <w:rsid w:val="00A250AE"/>
    <w:rsid w:val="00AF17F2"/>
    <w:rsid w:val="00DF169B"/>
  </w:rsids>
  <m:mathPr>
    <m:mathFont m:val="American Typewriter"/>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9B"/>
    <w:pPr>
      <w:spacing w:after="160" w:line="259" w:lineRule="auto"/>
    </w:pPr>
    <w:rPr>
      <w:rFonts w:ascii="Cambria" w:eastAsia="Cambria" w:hAnsi="Cambria" w:cs="Times New Roman"/>
      <w:sz w:val="22"/>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bold">
    <w:name w:val="Text bold"/>
    <w:rsid w:val="00A250AE"/>
    <w:rPr>
      <w:rFonts w:ascii="MV Boli" w:hAnsi="MV Boli"/>
      <w:b/>
      <w:color w:val="000000"/>
    </w:rPr>
  </w:style>
  <w:style w:type="paragraph" w:styleId="FootnoteText">
    <w:name w:val="footnote text"/>
    <w:basedOn w:val="Normal"/>
    <w:link w:val="FootnoteTextChar"/>
    <w:uiPriority w:val="99"/>
    <w:semiHidden/>
    <w:unhideWhenUsed/>
    <w:rsid w:val="00A250A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A250AE"/>
    <w:rPr>
      <w:rFonts w:ascii="Times New Roman" w:eastAsia="Times New Roman" w:hAnsi="Times New Roman" w:cs="Times New Roman"/>
      <w:sz w:val="20"/>
      <w:szCs w:val="20"/>
    </w:rPr>
  </w:style>
  <w:style w:type="character" w:styleId="FootnoteReference">
    <w:name w:val="footnote reference"/>
    <w:uiPriority w:val="99"/>
    <w:semiHidden/>
    <w:unhideWhenUsed/>
    <w:rsid w:val="00A250A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Macintosh Word</Application>
  <DocSecurity>0</DocSecurity>
  <Lines>15</Lines>
  <Paragraphs>3</Paragraphs>
  <ScaleCrop>false</ScaleCrop>
  <Company>Bob Miller</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cp:lastModifiedBy>Marilyn</cp:lastModifiedBy>
  <cp:revision>2</cp:revision>
  <dcterms:created xsi:type="dcterms:W3CDTF">2017-01-26T02:49:00Z</dcterms:created>
  <dcterms:modified xsi:type="dcterms:W3CDTF">2017-01-26T02:49:00Z</dcterms:modified>
</cp:coreProperties>
</file>